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646D66" w:rsidP="0056215E">
            <w:r>
              <w:t>Jan/1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F57FE7" w:rsidRDefault="00B31B91" w:rsidP="00F57FE7">
            <w:pPr>
              <w:jc w:val="center"/>
            </w:pPr>
            <w:r>
              <w:t>“Angelique Lemay”</w:t>
            </w:r>
          </w:p>
          <w:p w:rsidR="00B31B91" w:rsidRDefault="00B31B91" w:rsidP="00F57FE7">
            <w:pPr>
              <w:jc w:val="center"/>
            </w:pPr>
          </w:p>
        </w:tc>
        <w:tc>
          <w:tcPr>
            <w:tcW w:w="1710" w:type="dxa"/>
          </w:tcPr>
          <w:p w:rsidR="003F0350" w:rsidRDefault="00B31B91">
            <w:r>
              <w:t>Aug/12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w:t>
            </w:r>
            <w:bookmarkStart w:id="0" w:name="_GoBack"/>
            <w:bookmarkEnd w:id="0"/>
            <w:r w:rsidRPr="00B31B91">
              <w:rPr>
                <w:rFonts w:ascii="Arial" w:hAnsi="Arial" w:cs="Arial"/>
                <w:lang w:val="en-US"/>
              </w:rPr>
              <w:t>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646D6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B31B91">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w:t>
            </w:r>
            <w:r w:rsidR="00B31B91">
              <w:rPr>
                <w:rFonts w:ascii="Arial" w:hAnsi="Arial"/>
                <w:b w:val="0"/>
                <w:i/>
              </w:rPr>
              <w:t>Angelique Lemay, Dean</w:t>
            </w:r>
          </w:p>
        </w:tc>
      </w:tr>
      <w:tr w:rsidR="003F0350">
        <w:trPr>
          <w:cantSplit/>
        </w:trPr>
        <w:tc>
          <w:tcPr>
            <w:tcW w:w="9378" w:type="dxa"/>
            <w:gridSpan w:val="6"/>
          </w:tcPr>
          <w:p w:rsidR="003F0350" w:rsidRDefault="00B31B91">
            <w:pPr>
              <w:tabs>
                <w:tab w:val="center" w:pos="4560"/>
              </w:tabs>
              <w:jc w:val="center"/>
              <w:rPr>
                <w:i/>
                <w:lang w:val="en-GB"/>
              </w:rPr>
            </w:pPr>
            <w:r>
              <w:rPr>
                <w:i/>
                <w:lang w:val="en-GB"/>
              </w:rPr>
              <w:t xml:space="preserve">School of </w:t>
            </w:r>
            <w:r w:rsidR="007D0B61">
              <w:rPr>
                <w:i/>
                <w:lang w:val="en-GB"/>
              </w:rPr>
              <w:t>Community</w:t>
            </w:r>
            <w:r w:rsidR="003F0350">
              <w:rPr>
                <w:i/>
                <w:lang w:val="en-GB"/>
              </w:rPr>
              <w:t xml:space="preserve"> Services</w:t>
            </w:r>
            <w:r>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can bring their notes from text and from class sessions to the test. </w:t>
      </w:r>
      <w:r w:rsidR="00A413CB">
        <w:t xml:space="preserve">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FE" w:rsidRDefault="00BC51FE">
      <w:r>
        <w:separator/>
      </w:r>
    </w:p>
  </w:endnote>
  <w:endnote w:type="continuationSeparator" w:id="0">
    <w:p w:rsidR="00BC51FE" w:rsidRDefault="00BC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FE" w:rsidRDefault="00BC51FE">
      <w:r>
        <w:separator/>
      </w:r>
    </w:p>
  </w:footnote>
  <w:footnote w:type="continuationSeparator" w:id="0">
    <w:p w:rsidR="00BC51FE" w:rsidRDefault="00BC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E" w:rsidRDefault="00BC51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514B6">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BC51FE" w:rsidRDefault="00BC51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BC51FE" w:rsidRDefault="00BC51FE">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0175F-5064-433B-91E7-CEE736544B2F}"/>
</file>

<file path=customXml/itemProps2.xml><?xml version="1.0" encoding="utf-8"?>
<ds:datastoreItem xmlns:ds="http://schemas.openxmlformats.org/officeDocument/2006/customXml" ds:itemID="{606615D5-7D00-44D8-B4CC-90B26910A1A9}"/>
</file>

<file path=customXml/itemProps3.xml><?xml version="1.0" encoding="utf-8"?>
<ds:datastoreItem xmlns:ds="http://schemas.openxmlformats.org/officeDocument/2006/customXml" ds:itemID="{0958C39F-88FB-4976-8E4B-C930781B54A8}"/>
</file>

<file path=docProps/app.xml><?xml version="1.0" encoding="utf-8"?>
<Properties xmlns="http://schemas.openxmlformats.org/officeDocument/2006/extended-properties" xmlns:vt="http://schemas.openxmlformats.org/officeDocument/2006/docPropsVTypes">
  <Template>Normal.dotm</Template>
  <TotalTime>7</TotalTime>
  <Pages>8</Pages>
  <Words>2014</Words>
  <Characters>12388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2012-07-31T15:04:00Z</cp:lastPrinted>
  <dcterms:created xsi:type="dcterms:W3CDTF">2012-05-18T19:55:00Z</dcterms:created>
  <dcterms:modified xsi:type="dcterms:W3CDTF">2012-07-31T15:04:00Z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4980200</vt:r8>
  </property>
</Properties>
</file>